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rPr>
      </w:pPr>
      <w:r>
        <w:rPr>
          <w:rFonts w:hint="eastAsia" w:ascii="黑体" w:hAnsi="黑体" w:eastAsia="黑体" w:cs="宋体"/>
          <w:bCs/>
          <w:color w:val="000000"/>
          <w:kern w:val="0"/>
        </w:rPr>
        <w:t>附件2</w:t>
      </w:r>
    </w:p>
    <w:p>
      <w:pPr>
        <w:spacing w:line="600" w:lineRule="exact"/>
        <w:jc w:val="center"/>
        <w:rPr>
          <w:rFonts w:hint="eastAsia" w:ascii="方正小标宋简体" w:hAnsi="华文中宋" w:eastAsia="方正小标宋简体" w:cs="宋体"/>
          <w:bCs/>
          <w:color w:val="000000"/>
          <w:kern w:val="0"/>
          <w:sz w:val="44"/>
          <w:szCs w:val="44"/>
        </w:rPr>
      </w:pPr>
      <w:r>
        <w:rPr>
          <w:rFonts w:hint="eastAsia" w:ascii="方正小标宋简体" w:hAnsi="华文中宋" w:eastAsia="方正小标宋简体" w:cs="宋体"/>
          <w:bCs/>
          <w:color w:val="000000"/>
          <w:kern w:val="0"/>
          <w:sz w:val="44"/>
          <w:szCs w:val="44"/>
        </w:rPr>
        <w:t>救灾领域基层政务公开标准目录</w:t>
      </w:r>
    </w:p>
    <w:tbl>
      <w:tblPr>
        <w:tblStyle w:val="4"/>
        <w:tblpPr w:leftFromText="180" w:rightFromText="180" w:vertAnchor="text" w:horzAnchor="page" w:tblpX="1408" w:tblpY="611"/>
        <w:tblOverlap w:val="never"/>
        <w:tblW w:w="136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30"/>
        <w:gridCol w:w="1200"/>
        <w:gridCol w:w="1817"/>
        <w:gridCol w:w="1665"/>
        <w:gridCol w:w="1613"/>
        <w:gridCol w:w="1389"/>
        <w:gridCol w:w="2538"/>
        <w:gridCol w:w="397"/>
        <w:gridCol w:w="398"/>
        <w:gridCol w:w="397"/>
        <w:gridCol w:w="399"/>
        <w:gridCol w:w="397"/>
        <w:gridCol w:w="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245" w:type="dxa"/>
            <w:gridSpan w:val="3"/>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公开事项</w:t>
            </w:r>
          </w:p>
        </w:tc>
        <w:tc>
          <w:tcPr>
            <w:tcW w:w="1817" w:type="dxa"/>
            <w:vMerge w:val="restart"/>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公开内容</w:t>
            </w:r>
          </w:p>
        </w:tc>
        <w:tc>
          <w:tcPr>
            <w:tcW w:w="1665" w:type="dxa"/>
            <w:vMerge w:val="restart"/>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公开依据</w:t>
            </w:r>
          </w:p>
        </w:tc>
        <w:tc>
          <w:tcPr>
            <w:tcW w:w="1613" w:type="dxa"/>
            <w:vMerge w:val="restart"/>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公开时限</w:t>
            </w:r>
          </w:p>
        </w:tc>
        <w:tc>
          <w:tcPr>
            <w:tcW w:w="1389" w:type="dxa"/>
            <w:vMerge w:val="restart"/>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公开主体</w:t>
            </w:r>
          </w:p>
        </w:tc>
        <w:tc>
          <w:tcPr>
            <w:tcW w:w="2538" w:type="dxa"/>
            <w:vMerge w:val="restart"/>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公开渠道和载体</w:t>
            </w:r>
          </w:p>
        </w:tc>
        <w:tc>
          <w:tcPr>
            <w:tcW w:w="795" w:type="dxa"/>
            <w:gridSpan w:val="2"/>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公开对象</w:t>
            </w:r>
          </w:p>
        </w:tc>
        <w:tc>
          <w:tcPr>
            <w:tcW w:w="796" w:type="dxa"/>
            <w:gridSpan w:val="2"/>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公开方式</w:t>
            </w:r>
          </w:p>
        </w:tc>
        <w:tc>
          <w:tcPr>
            <w:tcW w:w="794" w:type="dxa"/>
            <w:gridSpan w:val="2"/>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715" w:type="dxa"/>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一级事项</w:t>
            </w:r>
          </w:p>
        </w:tc>
        <w:tc>
          <w:tcPr>
            <w:tcW w:w="1530" w:type="dxa"/>
            <w:gridSpan w:val="2"/>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二级事项</w:t>
            </w:r>
          </w:p>
        </w:tc>
        <w:tc>
          <w:tcPr>
            <w:tcW w:w="1817" w:type="dxa"/>
            <w:vMerge w:val="continue"/>
            <w:vAlign w:val="center"/>
          </w:tcPr>
          <w:p>
            <w:pPr>
              <w:widowControl/>
              <w:spacing w:line="260" w:lineRule="exact"/>
              <w:jc w:val="left"/>
              <w:rPr>
                <w:rFonts w:hint="eastAsia" w:asciiTheme="minorEastAsia" w:hAnsiTheme="minorEastAsia" w:eastAsiaTheme="minorEastAsia" w:cstheme="minorEastAsia"/>
                <w:b/>
                <w:bCs/>
                <w:color w:val="000000"/>
                <w:kern w:val="0"/>
                <w:sz w:val="20"/>
                <w:szCs w:val="20"/>
              </w:rPr>
            </w:pPr>
          </w:p>
        </w:tc>
        <w:tc>
          <w:tcPr>
            <w:tcW w:w="1665" w:type="dxa"/>
            <w:vMerge w:val="continue"/>
            <w:vAlign w:val="center"/>
          </w:tcPr>
          <w:p>
            <w:pPr>
              <w:widowControl/>
              <w:spacing w:line="260" w:lineRule="exact"/>
              <w:jc w:val="left"/>
              <w:rPr>
                <w:rFonts w:hint="eastAsia" w:asciiTheme="minorEastAsia" w:hAnsiTheme="minorEastAsia" w:eastAsiaTheme="minorEastAsia" w:cstheme="minorEastAsia"/>
                <w:b/>
                <w:bCs/>
                <w:color w:val="000000"/>
                <w:kern w:val="0"/>
                <w:sz w:val="20"/>
                <w:szCs w:val="20"/>
              </w:rPr>
            </w:pPr>
          </w:p>
        </w:tc>
        <w:tc>
          <w:tcPr>
            <w:tcW w:w="1613" w:type="dxa"/>
            <w:vMerge w:val="continue"/>
            <w:vAlign w:val="center"/>
          </w:tcPr>
          <w:p>
            <w:pPr>
              <w:widowControl/>
              <w:spacing w:line="260" w:lineRule="exact"/>
              <w:jc w:val="left"/>
              <w:rPr>
                <w:rFonts w:hint="eastAsia" w:asciiTheme="minorEastAsia" w:hAnsiTheme="minorEastAsia" w:eastAsiaTheme="minorEastAsia" w:cstheme="minorEastAsia"/>
                <w:b/>
                <w:bCs/>
                <w:color w:val="000000"/>
                <w:kern w:val="0"/>
                <w:sz w:val="20"/>
                <w:szCs w:val="20"/>
              </w:rPr>
            </w:pPr>
          </w:p>
        </w:tc>
        <w:tc>
          <w:tcPr>
            <w:tcW w:w="1389" w:type="dxa"/>
            <w:vMerge w:val="continue"/>
            <w:vAlign w:val="center"/>
          </w:tcPr>
          <w:p>
            <w:pPr>
              <w:widowControl/>
              <w:spacing w:line="260" w:lineRule="exact"/>
              <w:jc w:val="left"/>
              <w:rPr>
                <w:rFonts w:hint="eastAsia" w:asciiTheme="minorEastAsia" w:hAnsiTheme="minorEastAsia" w:eastAsiaTheme="minorEastAsia" w:cstheme="minorEastAsia"/>
                <w:b/>
                <w:bCs/>
                <w:color w:val="000000"/>
                <w:kern w:val="0"/>
                <w:sz w:val="20"/>
                <w:szCs w:val="20"/>
              </w:rPr>
            </w:pPr>
          </w:p>
        </w:tc>
        <w:tc>
          <w:tcPr>
            <w:tcW w:w="2538" w:type="dxa"/>
            <w:vMerge w:val="continue"/>
            <w:vAlign w:val="center"/>
          </w:tcPr>
          <w:p>
            <w:pPr>
              <w:widowControl/>
              <w:spacing w:line="260" w:lineRule="exact"/>
              <w:jc w:val="left"/>
              <w:rPr>
                <w:rFonts w:hint="eastAsia" w:asciiTheme="minorEastAsia" w:hAnsiTheme="minorEastAsia" w:eastAsiaTheme="minorEastAsia" w:cstheme="minorEastAsia"/>
                <w:b/>
                <w:bCs/>
                <w:color w:val="000000"/>
                <w:kern w:val="0"/>
                <w:sz w:val="20"/>
                <w:szCs w:val="20"/>
              </w:rPr>
            </w:pPr>
          </w:p>
        </w:tc>
        <w:tc>
          <w:tcPr>
            <w:tcW w:w="397" w:type="dxa"/>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全社会</w:t>
            </w:r>
          </w:p>
        </w:tc>
        <w:tc>
          <w:tcPr>
            <w:tcW w:w="398" w:type="dxa"/>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特定群体</w:t>
            </w:r>
          </w:p>
        </w:tc>
        <w:tc>
          <w:tcPr>
            <w:tcW w:w="397" w:type="dxa"/>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主动</w:t>
            </w:r>
          </w:p>
        </w:tc>
        <w:tc>
          <w:tcPr>
            <w:tcW w:w="399" w:type="dxa"/>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依申请</w:t>
            </w:r>
          </w:p>
        </w:tc>
        <w:tc>
          <w:tcPr>
            <w:tcW w:w="397" w:type="dxa"/>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县级</w:t>
            </w:r>
          </w:p>
        </w:tc>
        <w:tc>
          <w:tcPr>
            <w:tcW w:w="397" w:type="dxa"/>
            <w:vAlign w:val="center"/>
          </w:tcPr>
          <w:p>
            <w:pPr>
              <w:widowControl/>
              <w:spacing w:line="260" w:lineRule="exact"/>
              <w:jc w:val="center"/>
              <w:rPr>
                <w:rFonts w:hint="eastAsia" w:asciiTheme="minorEastAsia" w:hAnsiTheme="minorEastAsia" w:eastAsiaTheme="minorEastAsia" w:cstheme="minorEastAsia"/>
                <w:b/>
                <w:bCs/>
                <w:color w:val="000000"/>
                <w:kern w:val="0"/>
                <w:sz w:val="20"/>
                <w:szCs w:val="20"/>
              </w:rPr>
            </w:pPr>
            <w:r>
              <w:rPr>
                <w:rFonts w:hint="eastAsia" w:asciiTheme="minorEastAsia" w:hAnsiTheme="minorEastAsia" w:eastAsiaTheme="minorEastAsia" w:cstheme="minorEastAsia"/>
                <w:b/>
                <w:bCs/>
                <w:color w:val="000000"/>
                <w:kern w:val="0"/>
                <w:sz w:val="20"/>
                <w:szCs w:val="20"/>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trPr>
        <w:tc>
          <w:tcPr>
            <w:tcW w:w="715" w:type="dxa"/>
            <w:vMerge w:val="restart"/>
            <w:vAlign w:val="center"/>
          </w:tcPr>
          <w:p>
            <w:pPr>
              <w:widowControl/>
              <w:spacing w:line="26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政策文件</w:t>
            </w: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1</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法律法规</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与救灾有关的法律、法规</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Merge w:val="restart"/>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■政务服务中心</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15" w:type="dxa"/>
            <w:vMerge w:val="continue"/>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2</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部门和地方规章</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与救灾有关的部门和地方规章、规范性文件</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Merge w:val="continue"/>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715" w:type="dxa"/>
            <w:vMerge w:val="restart"/>
            <w:vAlign w:val="center"/>
          </w:tcPr>
          <w:p>
            <w:pPr>
              <w:widowControl/>
              <w:spacing w:line="26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政策文件</w:t>
            </w: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3</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其他政策文件</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其他可以公开的与救灾有关的政策文件，包括改革方案、发展规划、专项规划、工作计划等</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Merge w:val="continue"/>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715" w:type="dxa"/>
            <w:vMerge w:val="continue"/>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4</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标准</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救灾领域有关的国家标准、行业标准、地方标准等</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Merge w:val="continue"/>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715" w:type="dxa"/>
            <w:vMerge w:val="continue"/>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5</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重大决策草案</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涉及管理相对人切身利益、需社会广泛知晓的重要改革方案等重大决策，决策前向社会公开决策草案、决策依据</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《中华人民共和国政府信息公开条例》(国务院令第711号），中央办公厅、国务院办公厅《关于全面推进政务公开工作的意见》</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按进展情况及时公开</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trPr>
        <w:tc>
          <w:tcPr>
            <w:tcW w:w="715" w:type="dxa"/>
            <w:vMerge w:val="restart"/>
            <w:vAlign w:val="center"/>
          </w:tcPr>
          <w:p>
            <w:pPr>
              <w:widowControl/>
              <w:spacing w:line="26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政策文件</w:t>
            </w: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6</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重大政策解读及回应</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 xml:space="preserve">有关重大政策的解读及回应                       </w:t>
            </w:r>
            <w:r>
              <w:rPr>
                <w:rFonts w:hint="eastAsia" w:asciiTheme="minorEastAsia" w:hAnsiTheme="minorEastAsia" w:cstheme="minorEastAsia"/>
                <w:b w:val="0"/>
                <w:bCs w:val="0"/>
                <w:color w:val="000000"/>
                <w:kern w:val="0"/>
                <w:sz w:val="20"/>
                <w:szCs w:val="20"/>
                <w:lang w:val="en-US" w:eastAsia="zh-CN"/>
              </w:rPr>
              <w:t>2、</w:t>
            </w:r>
            <w:r>
              <w:rPr>
                <w:rFonts w:hint="eastAsia" w:asciiTheme="minorEastAsia" w:hAnsiTheme="minorEastAsia" w:eastAsiaTheme="minorEastAsia" w:cstheme="minorEastAsia"/>
                <w:b w:val="0"/>
                <w:bCs w:val="0"/>
                <w:color w:val="000000"/>
                <w:kern w:val="0"/>
                <w:sz w:val="20"/>
                <w:szCs w:val="20"/>
              </w:rPr>
              <w:t>相关热点问题的解读及回应</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重大决策作出后及时公开</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715" w:type="dxa"/>
            <w:vMerge w:val="continue"/>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7</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重要会议</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以会议讨论作出重要改革方案等重大决策时，经党组研究认为有必要公开讨论决策过程的会议</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《中华人民共和国政府信息公开条例》(国务院令第711号），中央办公厅、国务院办公厅《关于全面推进政务公开工作的意见》</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提前一周发通知邀请</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715" w:type="dxa"/>
            <w:vAlign w:val="center"/>
          </w:tcPr>
          <w:p>
            <w:pPr>
              <w:widowControl/>
              <w:spacing w:line="26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政策文件</w:t>
            </w: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8</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征集采纳社会公众意见情况</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重大决策草案公布后征集到的社会公众意见情况、采纳与否情况及理由等</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《中华人民共和国政府信息公开条例》(国务院令第711号）,中央办公厅、国务院办公厅《关于全面推进政务公开工作的意见》</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征求意见时对外公布的时限内公开</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715" w:type="dxa"/>
            <w:vAlign w:val="center"/>
          </w:tcPr>
          <w:p>
            <w:pPr>
              <w:widowControl/>
              <w:spacing w:line="260" w:lineRule="exact"/>
              <w:jc w:val="center"/>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备灾管理</w:t>
            </w: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1</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综合减灾示范社区</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综合减灾示范社区分布情况（其具体位置、创建时间、创建级别等）</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《中华人民共和国政府信息公开条例》(国务院令第711号）、《社会救助暂行办法》（2014）、《国家综合防灾减灾规划（2016-2020年）》</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信息形成或变更之日起20个工作日内</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715" w:type="dxa"/>
            <w:vMerge w:val="restart"/>
            <w:vAlign w:val="center"/>
          </w:tcPr>
          <w:p>
            <w:pPr>
              <w:widowControl/>
              <w:spacing w:line="260" w:lineRule="exact"/>
              <w:jc w:val="center"/>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备灾管理</w:t>
            </w: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2</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灾害信息员队伍</w:t>
            </w:r>
          </w:p>
        </w:tc>
        <w:tc>
          <w:tcPr>
            <w:tcW w:w="1817" w:type="dxa"/>
            <w:vAlign w:val="center"/>
          </w:tcPr>
          <w:p>
            <w:pPr>
              <w:widowControl/>
              <w:numPr>
                <w:ilvl w:val="0"/>
                <w:numId w:val="1"/>
              </w:numPr>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县乡两级灾害信息员工作职责</w:t>
            </w:r>
          </w:p>
          <w:p>
            <w:pPr>
              <w:widowControl/>
              <w:numPr>
                <w:ilvl w:val="0"/>
                <w:numId w:val="1"/>
              </w:numPr>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办公电话</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《中华人民共和国政府信息公开条例》(国务院令第711号）、《社会救助暂行办法》（2014）、《国家综合防灾减灾规划（2016-2020年）》</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信息形成或变更之日起20个工作日内</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5" w:type="dxa"/>
            <w:vMerge w:val="continue"/>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3</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预警信息</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气象、地震等单位发布的预警信息</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trPr>
        <w:tc>
          <w:tcPr>
            <w:tcW w:w="715" w:type="dxa"/>
            <w:vMerge w:val="restart"/>
            <w:vAlign w:val="center"/>
          </w:tcPr>
          <w:p>
            <w:pPr>
              <w:widowControl/>
              <w:spacing w:line="26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灾后救助</w:t>
            </w: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1</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灾情核定信息</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本行政区域内因自然灾害造成的损失情况（受灾时间、灾害种类、受灾范围、灾害造成的损失等）</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《中华人民共和国政府信息公开条例》(国务院令第711号）、《中华人民共和国自然灾害救助条例》（国务院令第577号）</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715" w:type="dxa"/>
            <w:vMerge w:val="continue"/>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2</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救助审定信息</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自然灾害救助（6类）的救助对象、申报材料、办理程序及时限等</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《中华人民共和国政府信息公开条例》(国务院令第711号）、《中华人民共和国自然灾害救助条例》（国务院令第577号）</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715" w:type="dxa"/>
            <w:vMerge w:val="restart"/>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灾后救助</w:t>
            </w: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3</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eastAsia="zh-CN"/>
              </w:rPr>
              <w:t>南安市应急管理局</w:t>
            </w:r>
            <w:r>
              <w:rPr>
                <w:rFonts w:hint="eastAsia" w:asciiTheme="minorEastAsia" w:hAnsiTheme="minorEastAsia" w:eastAsiaTheme="minorEastAsia" w:cstheme="minorEastAsia"/>
                <w:b w:val="0"/>
                <w:bCs w:val="0"/>
                <w:kern w:val="0"/>
                <w:sz w:val="20"/>
                <w:szCs w:val="20"/>
              </w:rPr>
              <w:t>审批</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cstheme="minorEastAsia"/>
                <w:b w:val="0"/>
                <w:bCs w:val="0"/>
                <w:color w:val="000000"/>
                <w:kern w:val="0"/>
                <w:sz w:val="20"/>
                <w:szCs w:val="20"/>
                <w:lang w:val="en-US" w:eastAsia="zh-CN"/>
              </w:rPr>
              <w:t>1、</w:t>
            </w:r>
            <w:r>
              <w:rPr>
                <w:rFonts w:hint="eastAsia" w:asciiTheme="minorEastAsia" w:hAnsiTheme="minorEastAsia" w:eastAsiaTheme="minorEastAsia" w:cstheme="minorEastAsia"/>
                <w:b w:val="0"/>
                <w:bCs w:val="0"/>
                <w:color w:val="000000"/>
                <w:kern w:val="0"/>
                <w:sz w:val="20"/>
                <w:szCs w:val="20"/>
              </w:rPr>
              <w:t>助款物通知及划拨情况</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《中华人民共和国政府信息公开条例》(国务院令第711号）、《中华人民共和国自然灾害救助条例》（国务院令第577号）</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15" w:type="dxa"/>
            <w:vMerge w:val="continue"/>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p>
        </w:tc>
        <w:tc>
          <w:tcPr>
            <w:tcW w:w="330" w:type="dxa"/>
            <w:vAlign w:val="center"/>
          </w:tcPr>
          <w:p>
            <w:pPr>
              <w:widowControl/>
              <w:spacing w:line="26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4</w:t>
            </w:r>
          </w:p>
        </w:tc>
        <w:tc>
          <w:tcPr>
            <w:tcW w:w="1200"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因灾过渡期生活救助</w:t>
            </w:r>
          </w:p>
        </w:tc>
        <w:tc>
          <w:tcPr>
            <w:tcW w:w="181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 xml:space="preserve">因灾过渡期生活救助标准、过渡期生活救助对象评议结果公示（灾民姓名、受灾情况、拟救助金额、监督举报电话）                                         </w:t>
            </w:r>
            <w:r>
              <w:rPr>
                <w:rFonts w:hint="eastAsia" w:asciiTheme="minorEastAsia" w:hAnsiTheme="minorEastAsia" w:cstheme="minorEastAsia"/>
                <w:b w:val="0"/>
                <w:bCs w:val="0"/>
                <w:kern w:val="0"/>
                <w:sz w:val="20"/>
                <w:szCs w:val="20"/>
                <w:lang w:val="en-US" w:eastAsia="zh-CN"/>
              </w:rPr>
              <w:t>2、</w:t>
            </w:r>
            <w:r>
              <w:rPr>
                <w:rFonts w:hint="eastAsia" w:asciiTheme="minorEastAsia" w:hAnsiTheme="minorEastAsia" w:eastAsiaTheme="minorEastAsia" w:cstheme="minorEastAsia"/>
                <w:b w:val="0"/>
                <w:bCs w:val="0"/>
                <w:kern w:val="0"/>
                <w:sz w:val="20"/>
                <w:szCs w:val="20"/>
              </w:rPr>
              <w:t>过渡期生活救助对象确定（灾民姓名、受灾情况、救助金额、监督举报电话)</w:t>
            </w:r>
          </w:p>
        </w:tc>
        <w:tc>
          <w:tcPr>
            <w:tcW w:w="1665"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《中华人民共和国政府信息公开条例》(国务院令第711号）、《中华人民共和国自然灾害救助条例》（国务院令第577号）</w:t>
            </w:r>
          </w:p>
        </w:tc>
        <w:tc>
          <w:tcPr>
            <w:tcW w:w="1613" w:type="dxa"/>
            <w:vAlign w:val="center"/>
          </w:tcPr>
          <w:p>
            <w:pPr>
              <w:widowControl/>
              <w:spacing w:line="26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38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lang w:eastAsia="zh-CN"/>
              </w:rPr>
            </w:pPr>
            <w:bookmarkStart w:id="0" w:name="_GoBack"/>
            <w:bookmarkEnd w:id="0"/>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715"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灾后救助</w:t>
            </w:r>
          </w:p>
        </w:tc>
        <w:tc>
          <w:tcPr>
            <w:tcW w:w="330" w:type="dxa"/>
            <w:vAlign w:val="center"/>
          </w:tcPr>
          <w:p>
            <w:pPr>
              <w:widowControl/>
              <w:spacing w:line="24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5</w:t>
            </w:r>
          </w:p>
        </w:tc>
        <w:tc>
          <w:tcPr>
            <w:tcW w:w="1200"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居民住房恢复重建救助</w:t>
            </w:r>
          </w:p>
        </w:tc>
        <w:tc>
          <w:tcPr>
            <w:tcW w:w="1817"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 xml:space="preserve">居民住房恢复重建救助标准（居民因灾倒房、损房恢复重建具体救助标准）                            </w:t>
            </w:r>
            <w:r>
              <w:rPr>
                <w:rFonts w:hint="eastAsia" w:asciiTheme="minorEastAsia" w:hAnsiTheme="minorEastAsia" w:cstheme="minorEastAsia"/>
                <w:b w:val="0"/>
                <w:bCs w:val="0"/>
                <w:kern w:val="0"/>
                <w:sz w:val="20"/>
                <w:szCs w:val="20"/>
                <w:lang w:val="en-US" w:eastAsia="zh-CN"/>
              </w:rPr>
              <w:t>2、</w:t>
            </w:r>
            <w:r>
              <w:rPr>
                <w:rFonts w:hint="eastAsia" w:asciiTheme="minorEastAsia" w:hAnsiTheme="minorEastAsia" w:eastAsiaTheme="minorEastAsia" w:cstheme="minorEastAsia"/>
                <w:b w:val="0"/>
                <w:bCs w:val="0"/>
                <w:kern w:val="0"/>
                <w:sz w:val="20"/>
                <w:szCs w:val="20"/>
              </w:rPr>
              <w:t>居民住房恢复重建救助对象评议结果公示（公开灾民姓名、受灾情况、拟救助标准、监督举报电话）</w:t>
            </w:r>
          </w:p>
        </w:tc>
        <w:tc>
          <w:tcPr>
            <w:tcW w:w="1665" w:type="dxa"/>
            <w:vAlign w:val="center"/>
          </w:tcPr>
          <w:p>
            <w:pPr>
              <w:widowControl/>
              <w:spacing w:line="24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《中华人民共和国政府信息公开条例》(国务院令第711号）、《中华人民共和国自然灾害救助条例》（国务院令第577号）</w:t>
            </w:r>
          </w:p>
        </w:tc>
        <w:tc>
          <w:tcPr>
            <w:tcW w:w="1613" w:type="dxa"/>
            <w:vAlign w:val="center"/>
          </w:tcPr>
          <w:p>
            <w:pPr>
              <w:widowControl/>
              <w:spacing w:line="24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信息形成或变更之日起20个工作日内</w:t>
            </w:r>
          </w:p>
        </w:tc>
        <w:tc>
          <w:tcPr>
            <w:tcW w:w="1389"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15" w:type="dxa"/>
            <w:vAlign w:val="center"/>
          </w:tcPr>
          <w:p>
            <w:pPr>
              <w:widowControl/>
              <w:spacing w:line="24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款物管理</w:t>
            </w:r>
          </w:p>
        </w:tc>
        <w:tc>
          <w:tcPr>
            <w:tcW w:w="330" w:type="dxa"/>
            <w:vAlign w:val="center"/>
          </w:tcPr>
          <w:p>
            <w:pPr>
              <w:widowControl/>
              <w:spacing w:line="24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1</w:t>
            </w:r>
          </w:p>
        </w:tc>
        <w:tc>
          <w:tcPr>
            <w:tcW w:w="1200"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捐赠款物信息</w:t>
            </w:r>
          </w:p>
        </w:tc>
        <w:tc>
          <w:tcPr>
            <w:tcW w:w="1817"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年度捐赠款物信息以及款物使用情况</w:t>
            </w:r>
          </w:p>
        </w:tc>
        <w:tc>
          <w:tcPr>
            <w:tcW w:w="1665"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《中华人民共和国政府信息公开条例》（国务院令第711号）</w:t>
            </w:r>
          </w:p>
        </w:tc>
        <w:tc>
          <w:tcPr>
            <w:tcW w:w="1613" w:type="dxa"/>
            <w:vAlign w:val="center"/>
          </w:tcPr>
          <w:p>
            <w:pPr>
              <w:widowControl/>
              <w:spacing w:line="240" w:lineRule="exact"/>
              <w:jc w:val="left"/>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按进展情况及时公开</w:t>
            </w:r>
          </w:p>
        </w:tc>
        <w:tc>
          <w:tcPr>
            <w:tcW w:w="1389"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5"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款物管理</w:t>
            </w:r>
          </w:p>
        </w:tc>
        <w:tc>
          <w:tcPr>
            <w:tcW w:w="330" w:type="dxa"/>
            <w:vAlign w:val="center"/>
          </w:tcPr>
          <w:p>
            <w:pPr>
              <w:widowControl/>
              <w:spacing w:line="24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2</w:t>
            </w:r>
          </w:p>
        </w:tc>
        <w:tc>
          <w:tcPr>
            <w:tcW w:w="1200"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年度款物使用情况</w:t>
            </w:r>
          </w:p>
        </w:tc>
        <w:tc>
          <w:tcPr>
            <w:tcW w:w="1817"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年度救灾资金和救灾物资等使用情况</w:t>
            </w:r>
          </w:p>
        </w:tc>
        <w:tc>
          <w:tcPr>
            <w:tcW w:w="1665"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《中华人民共和国政府信息公开条例》（国务院令第711号）</w:t>
            </w:r>
          </w:p>
        </w:tc>
        <w:tc>
          <w:tcPr>
            <w:tcW w:w="1613"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按进展情况及时公开</w:t>
            </w:r>
          </w:p>
        </w:tc>
        <w:tc>
          <w:tcPr>
            <w:tcW w:w="1389"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5" w:type="dxa"/>
            <w:vAlign w:val="center"/>
          </w:tcPr>
          <w:p>
            <w:pPr>
              <w:widowControl/>
              <w:spacing w:line="240" w:lineRule="exact"/>
              <w:jc w:val="center"/>
              <w:rPr>
                <w:rFonts w:hint="eastAsia" w:asciiTheme="minorEastAsia" w:hAnsiTheme="minorEastAsia" w:eastAsiaTheme="minorEastAsia" w:cstheme="minorEastAsia"/>
                <w:b w:val="0"/>
                <w:bCs w:val="0"/>
                <w:color w:val="000000"/>
                <w:kern w:val="0"/>
                <w:sz w:val="20"/>
                <w:szCs w:val="20"/>
              </w:rPr>
            </w:pPr>
            <w:r>
              <w:rPr>
                <w:rFonts w:hint="eastAsia" w:asciiTheme="minorEastAsia" w:hAnsiTheme="minorEastAsia" w:eastAsiaTheme="minorEastAsia" w:cstheme="minorEastAsia"/>
                <w:b w:val="0"/>
                <w:bCs w:val="0"/>
                <w:color w:val="000000"/>
                <w:kern w:val="0"/>
                <w:sz w:val="20"/>
                <w:szCs w:val="20"/>
              </w:rPr>
              <w:t>工作动态</w:t>
            </w:r>
          </w:p>
        </w:tc>
        <w:tc>
          <w:tcPr>
            <w:tcW w:w="330" w:type="dxa"/>
            <w:vAlign w:val="center"/>
          </w:tcPr>
          <w:p>
            <w:pPr>
              <w:widowControl/>
              <w:spacing w:line="240" w:lineRule="exact"/>
              <w:jc w:val="righ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1</w:t>
            </w:r>
          </w:p>
        </w:tc>
        <w:tc>
          <w:tcPr>
            <w:tcW w:w="1200"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工作信息</w:t>
            </w:r>
          </w:p>
        </w:tc>
        <w:tc>
          <w:tcPr>
            <w:tcW w:w="1817"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cstheme="minorEastAsia"/>
                <w:b w:val="0"/>
                <w:bCs w:val="0"/>
                <w:kern w:val="0"/>
                <w:sz w:val="20"/>
                <w:szCs w:val="20"/>
                <w:lang w:val="en-US" w:eastAsia="zh-CN"/>
              </w:rPr>
              <w:t>1、</w:t>
            </w:r>
            <w:r>
              <w:rPr>
                <w:rFonts w:hint="eastAsia" w:asciiTheme="minorEastAsia" w:hAnsiTheme="minorEastAsia" w:eastAsiaTheme="minorEastAsia" w:cstheme="minorEastAsia"/>
                <w:b w:val="0"/>
                <w:bCs w:val="0"/>
                <w:kern w:val="0"/>
                <w:sz w:val="20"/>
                <w:szCs w:val="20"/>
              </w:rPr>
              <w:t>防灾减灾救灾其他相关动态信息</w:t>
            </w:r>
          </w:p>
        </w:tc>
        <w:tc>
          <w:tcPr>
            <w:tcW w:w="1665"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《中华人民共和国政府信息公开条例》（国务院令第711号）</w:t>
            </w:r>
          </w:p>
        </w:tc>
        <w:tc>
          <w:tcPr>
            <w:tcW w:w="1613"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按进展情况及时公开</w:t>
            </w:r>
          </w:p>
        </w:tc>
        <w:tc>
          <w:tcPr>
            <w:tcW w:w="1389" w:type="dxa"/>
            <w:vAlign w:val="center"/>
          </w:tcPr>
          <w:p>
            <w:pPr>
              <w:widowControl/>
              <w:spacing w:line="240" w:lineRule="exact"/>
              <w:jc w:val="left"/>
              <w:rPr>
                <w:rFonts w:hint="eastAsia" w:asciiTheme="minorEastAsia" w:hAnsiTheme="minorEastAsia" w:eastAsiaTheme="minorEastAsia" w:cstheme="minorEastAsia"/>
                <w:b w:val="0"/>
                <w:bCs w:val="0"/>
                <w:kern w:val="0"/>
                <w:sz w:val="20"/>
                <w:szCs w:val="20"/>
                <w:lang w:eastAsia="zh-CN"/>
              </w:rPr>
            </w:pPr>
            <w:r>
              <w:rPr>
                <w:rFonts w:hint="eastAsia" w:asciiTheme="minorEastAsia" w:hAnsiTheme="minorEastAsia" w:cstheme="minorEastAsia"/>
                <w:b w:val="0"/>
                <w:bCs w:val="0"/>
                <w:kern w:val="0"/>
                <w:sz w:val="20"/>
                <w:szCs w:val="20"/>
                <w:lang w:eastAsia="zh-CN"/>
              </w:rPr>
              <w:t>南安市应急管理局</w:t>
            </w:r>
          </w:p>
        </w:tc>
        <w:tc>
          <w:tcPr>
            <w:tcW w:w="2538" w:type="dxa"/>
            <w:vAlign w:val="center"/>
          </w:tcPr>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■政府网站</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r>
              <w:rPr>
                <w:rFonts w:hint="eastAsia" w:asciiTheme="minorEastAsia" w:hAnsiTheme="minorEastAsia" w:eastAsiaTheme="minorEastAsia" w:cstheme="minorEastAsia"/>
                <w:b w:val="0"/>
                <w:bCs w:val="0"/>
                <w:kern w:val="0"/>
                <w:sz w:val="20"/>
                <w:szCs w:val="20"/>
                <w:lang w:eastAsia="zh-CN"/>
              </w:rPr>
              <w:t>微信公众号</w:t>
            </w:r>
          </w:p>
          <w:p>
            <w:pPr>
              <w:widowControl/>
              <w:spacing w:line="28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■公开查阅点</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8"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9"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　</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c>
          <w:tcPr>
            <w:tcW w:w="397" w:type="dxa"/>
            <w:vAlign w:val="center"/>
          </w:tcPr>
          <w:p>
            <w:pPr>
              <w:widowControl/>
              <w:spacing w:line="260" w:lineRule="exact"/>
              <w:jc w:val="left"/>
              <w:rPr>
                <w:rFonts w:hint="eastAsia" w:asciiTheme="minorEastAsia" w:hAnsiTheme="minorEastAsia" w:eastAsiaTheme="minorEastAsia" w:cstheme="minorEastAsia"/>
                <w:b w:val="0"/>
                <w:bCs w:val="0"/>
                <w:kern w:val="0"/>
                <w:sz w:val="20"/>
                <w:szCs w:val="20"/>
              </w:rPr>
            </w:pPr>
            <w:r>
              <w:rPr>
                <w:rFonts w:hint="eastAsia" w:asciiTheme="minorEastAsia" w:hAnsiTheme="minorEastAsia" w:eastAsiaTheme="minorEastAsia" w:cstheme="minorEastAsia"/>
                <w:b w:val="0"/>
                <w:bCs w:val="0"/>
                <w:kern w:val="0"/>
                <w:sz w:val="20"/>
                <w:szCs w:val="20"/>
              </w:rPr>
              <w:t>√</w:t>
            </w:r>
          </w:p>
        </w:tc>
      </w:tr>
    </w:tbl>
    <w:p>
      <w:pPr>
        <w:sectPr>
          <w:footerReference r:id="rId3" w:type="default"/>
          <w:pgSz w:w="16838" w:h="11906" w:orient="landscape"/>
          <w:pgMar w:top="1361" w:right="2098" w:bottom="1361" w:left="1417" w:header="851" w:footer="992" w:gutter="0"/>
          <w:pgNumType w:fmt="numberInDash"/>
          <w:cols w:space="0" w:num="1"/>
          <w:rtlGutter w:val="0"/>
          <w:docGrid w:type="linesAndChars" w:linePitch="610" w:charSpace="-678"/>
        </w:sectPr>
      </w:pPr>
    </w:p>
    <w:p/>
    <w:p/>
    <w:p/>
    <w:p/>
    <w:p/>
    <w:p/>
    <w:p/>
    <w:p/>
    <w:p/>
    <w:p/>
    <w:p/>
    <w:p/>
    <w:p/>
    <w:p/>
    <w:p/>
    <w:p/>
    <w:p>
      <w:pPr>
        <w:rPr>
          <w:rFonts w:hint="eastAsia" w:ascii="仿宋_GB2312" w:hAnsi="仿宋_GB2312" w:eastAsia="仿宋_GB2312" w:cs="仿宋_GB2312"/>
        </w:rPr>
      </w:pPr>
    </w:p>
    <w:sectPr>
      <w:footerReference r:id="rId4" w:type="default"/>
      <w:pgSz w:w="11906" w:h="16838"/>
      <w:pgMar w:top="2098" w:right="1361" w:bottom="1417" w:left="1361" w:header="851" w:footer="992" w:gutter="0"/>
      <w:pgNumType w:fmt="numberInDash"/>
      <w:cols w:space="0" w:num="1"/>
      <w:rtlGutter w:val="0"/>
      <w:docGrid w:type="linesAndChars" w:linePitch="610" w:charSpace="-6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52"/>
                              <w:lang w:eastAsia="zh-CN"/>
                            </w:rPr>
                          </w:pPr>
                          <w:r>
                            <w:rPr>
                              <w:rFonts w:hint="eastAsia" w:asciiTheme="minorEastAsia" w:hAnsiTheme="minorEastAsia" w:eastAsiaTheme="minorEastAsia" w:cstheme="minorEastAsia"/>
                              <w:sz w:val="28"/>
                              <w:szCs w:val="52"/>
                              <w:lang w:eastAsia="zh-CN"/>
                            </w:rPr>
                            <w:fldChar w:fldCharType="begin"/>
                          </w:r>
                          <w:r>
                            <w:rPr>
                              <w:rFonts w:hint="eastAsia" w:asciiTheme="minorEastAsia" w:hAnsiTheme="minorEastAsia" w:eastAsiaTheme="minorEastAsia" w:cstheme="minorEastAsia"/>
                              <w:sz w:val="28"/>
                              <w:szCs w:val="52"/>
                              <w:lang w:eastAsia="zh-CN"/>
                            </w:rPr>
                            <w:instrText xml:space="preserve"> PAGE  \* MERGEFORMAT </w:instrText>
                          </w:r>
                          <w:r>
                            <w:rPr>
                              <w:rFonts w:hint="eastAsia" w:asciiTheme="minorEastAsia" w:hAnsiTheme="minorEastAsia" w:eastAsiaTheme="minorEastAsia" w:cstheme="minorEastAsia"/>
                              <w:sz w:val="28"/>
                              <w:szCs w:val="52"/>
                              <w:lang w:eastAsia="zh-CN"/>
                            </w:rPr>
                            <w:fldChar w:fldCharType="separate"/>
                          </w:r>
                          <w:r>
                            <w:rPr>
                              <w:rFonts w:hint="eastAsia" w:asciiTheme="minorEastAsia" w:hAnsiTheme="minorEastAsia" w:eastAsiaTheme="minorEastAsia" w:cstheme="minorEastAsia"/>
                              <w:sz w:val="28"/>
                              <w:szCs w:val="52"/>
                            </w:rPr>
                            <w:t>- 1 -</w:t>
                          </w:r>
                          <w:r>
                            <w:rPr>
                              <w:rFonts w:hint="eastAsia" w:asciiTheme="minorEastAsia" w:hAnsiTheme="minorEastAsia" w:eastAsiaTheme="minorEastAsia" w:cstheme="minorEastAsia"/>
                              <w:sz w:val="28"/>
                              <w:szCs w:val="5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52"/>
                        <w:lang w:eastAsia="zh-CN"/>
                      </w:rPr>
                    </w:pPr>
                    <w:r>
                      <w:rPr>
                        <w:rFonts w:hint="eastAsia" w:asciiTheme="minorEastAsia" w:hAnsiTheme="minorEastAsia" w:eastAsiaTheme="minorEastAsia" w:cstheme="minorEastAsia"/>
                        <w:sz w:val="28"/>
                        <w:szCs w:val="52"/>
                        <w:lang w:eastAsia="zh-CN"/>
                      </w:rPr>
                      <w:fldChar w:fldCharType="begin"/>
                    </w:r>
                    <w:r>
                      <w:rPr>
                        <w:rFonts w:hint="eastAsia" w:asciiTheme="minorEastAsia" w:hAnsiTheme="minorEastAsia" w:eastAsiaTheme="minorEastAsia" w:cstheme="minorEastAsia"/>
                        <w:sz w:val="28"/>
                        <w:szCs w:val="52"/>
                        <w:lang w:eastAsia="zh-CN"/>
                      </w:rPr>
                      <w:instrText xml:space="preserve"> PAGE  \* MERGEFORMAT </w:instrText>
                    </w:r>
                    <w:r>
                      <w:rPr>
                        <w:rFonts w:hint="eastAsia" w:asciiTheme="minorEastAsia" w:hAnsiTheme="minorEastAsia" w:eastAsiaTheme="minorEastAsia" w:cstheme="minorEastAsia"/>
                        <w:sz w:val="28"/>
                        <w:szCs w:val="52"/>
                        <w:lang w:eastAsia="zh-CN"/>
                      </w:rPr>
                      <w:fldChar w:fldCharType="separate"/>
                    </w:r>
                    <w:r>
                      <w:rPr>
                        <w:rFonts w:hint="eastAsia" w:asciiTheme="minorEastAsia" w:hAnsiTheme="minorEastAsia" w:eastAsiaTheme="minorEastAsia" w:cstheme="minorEastAsia"/>
                        <w:sz w:val="28"/>
                        <w:szCs w:val="52"/>
                      </w:rPr>
                      <w:t>- 1 -</w:t>
                    </w:r>
                    <w:r>
                      <w:rPr>
                        <w:rFonts w:hint="eastAsia" w:asciiTheme="minorEastAsia" w:hAnsiTheme="minorEastAsia" w:eastAsiaTheme="minorEastAsia" w:cstheme="minorEastAsia"/>
                        <w:sz w:val="28"/>
                        <w:szCs w:val="5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5B6F9"/>
    <w:multiLevelType w:val="singleLevel"/>
    <w:tmpl w:val="0E55B6F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2529F"/>
    <w:rsid w:val="084E1950"/>
    <w:rsid w:val="0F1E5250"/>
    <w:rsid w:val="12A84F34"/>
    <w:rsid w:val="15692586"/>
    <w:rsid w:val="163E0B91"/>
    <w:rsid w:val="1D74556C"/>
    <w:rsid w:val="25C32138"/>
    <w:rsid w:val="28B643E5"/>
    <w:rsid w:val="2CDE7E96"/>
    <w:rsid w:val="2E9D0298"/>
    <w:rsid w:val="36202779"/>
    <w:rsid w:val="36D068EB"/>
    <w:rsid w:val="38BF279E"/>
    <w:rsid w:val="394A1B76"/>
    <w:rsid w:val="3B8008C7"/>
    <w:rsid w:val="421524D9"/>
    <w:rsid w:val="421F3CDF"/>
    <w:rsid w:val="44597B1B"/>
    <w:rsid w:val="4E096DAE"/>
    <w:rsid w:val="537963D2"/>
    <w:rsid w:val="53BC210E"/>
    <w:rsid w:val="54693D82"/>
    <w:rsid w:val="55125F37"/>
    <w:rsid w:val="5CC7485D"/>
    <w:rsid w:val="5DD1195B"/>
    <w:rsid w:val="63F33645"/>
    <w:rsid w:val="66740030"/>
    <w:rsid w:val="67F64448"/>
    <w:rsid w:val="6E8B3FFD"/>
    <w:rsid w:val="7042529F"/>
    <w:rsid w:val="72C7498A"/>
    <w:rsid w:val="7352275F"/>
    <w:rsid w:val="7524246B"/>
    <w:rsid w:val="7C1608F1"/>
    <w:rsid w:val="7C27445C"/>
    <w:rsid w:val="7DC61EED"/>
    <w:rsid w:val="7EAE45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公文标题"/>
    <w:basedOn w:val="1"/>
    <w:qFormat/>
    <w:uiPriority w:val="0"/>
    <w:pPr>
      <w:spacing w:line="560" w:lineRule="exact"/>
      <w:jc w:val="center"/>
    </w:pPr>
    <w:rPr>
      <w:rFonts w:ascii="Calibri" w:hAnsi="Calibri" w:eastAsia="方正小标宋简体" w:cs="Times New Roman"/>
      <w:sz w:val="44"/>
    </w:rPr>
  </w:style>
  <w:style w:type="paragraph" w:customStyle="1" w:styleId="9">
    <w:name w:val="公文正文"/>
    <w:basedOn w:val="1"/>
    <w:link w:val="12"/>
    <w:qFormat/>
    <w:uiPriority w:val="0"/>
    <w:pPr>
      <w:spacing w:line="560" w:lineRule="exact"/>
      <w:ind w:firstLine="714" w:firstLineChars="200"/>
    </w:pPr>
    <w:rPr>
      <w:rFonts w:ascii="仿宋_GB2312" w:hAnsi="仿宋_GB2312" w:eastAsia="仿宋_GB2312" w:cs="Times New Roman"/>
      <w:sz w:val="32"/>
    </w:rPr>
  </w:style>
  <w:style w:type="paragraph" w:customStyle="1" w:styleId="10">
    <w:name w:val="公文二级标题"/>
    <w:basedOn w:val="1"/>
    <w:qFormat/>
    <w:uiPriority w:val="0"/>
    <w:pPr>
      <w:spacing w:line="560" w:lineRule="exact"/>
      <w:ind w:firstLine="880" w:firstLineChars="200"/>
    </w:pPr>
    <w:rPr>
      <w:rFonts w:ascii="Times New Roman" w:hAnsi="Times New Roman" w:eastAsia="黑体"/>
      <w:sz w:val="32"/>
    </w:rPr>
  </w:style>
  <w:style w:type="paragraph" w:customStyle="1" w:styleId="11">
    <w:name w:val="公文三级标题"/>
    <w:basedOn w:val="1"/>
    <w:qFormat/>
    <w:uiPriority w:val="0"/>
    <w:pPr>
      <w:spacing w:line="560" w:lineRule="exact"/>
      <w:ind w:firstLine="720" w:firstLineChars="200"/>
    </w:pPr>
    <w:rPr>
      <w:rFonts w:ascii="宋体" w:hAnsi="宋体" w:eastAsia="楷体_GB2312" w:cs="宋体"/>
      <w:b/>
      <w:sz w:val="32"/>
    </w:rPr>
  </w:style>
  <w:style w:type="character" w:customStyle="1" w:styleId="12">
    <w:name w:val="公文正文 Char"/>
    <w:link w:val="9"/>
    <w:qFormat/>
    <w:uiPriority w:val="0"/>
    <w:rPr>
      <w:rFonts w:ascii="仿宋_GB2312" w:hAnsi="仿宋_GB2312" w:eastAsia="仿宋_GB2312" w:cs="Times New Roman"/>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2020-09-24T03:10:00Z</dcterms:created>
  <dc:creator>Levoe</dc:creator>
  <cp:lastModifiedBy>Administrator</cp:lastModifiedBy>
  <cp:lastPrinted>2020-10-10T00:59:00Z</cp:lastPrinted>
  <dcterms:modified xsi:type="dcterms:W3CDTF">2020-11-16T03:01:04Z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